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DA8626" w14:textId="77777777" w:rsidR="005827B6" w:rsidRPr="00B137AD" w:rsidRDefault="005827B6" w:rsidP="005827B6">
      <w:pPr>
        <w:spacing w:line="360" w:lineRule="auto"/>
        <w:ind w:right="-285"/>
        <w:jc w:val="center"/>
        <w:rPr>
          <w:rFonts w:ascii="Kunstler Script" w:hAnsi="Kunstler Script"/>
          <w:b/>
          <w:sz w:val="55"/>
          <w:szCs w:val="55"/>
        </w:rPr>
      </w:pPr>
      <w:r w:rsidRPr="00B137AD">
        <w:rPr>
          <w:rFonts w:ascii="Kunstler Script" w:hAnsi="Kunstler Script"/>
          <w:b/>
          <w:noProof/>
          <w:sz w:val="55"/>
          <w:szCs w:val="55"/>
        </w:rPr>
        <w:drawing>
          <wp:inline distT="0" distB="0" distL="0" distR="0" wp14:anchorId="1733BEC7" wp14:editId="372A906A">
            <wp:extent cx="581025" cy="666750"/>
            <wp:effectExtent l="19050" t="0" r="9525" b="0"/>
            <wp:docPr id="1" name="Immagine 8" descr="C:\Documents and Settings\egidio.cuocci.UTENTI\Desktop\7 immag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descr="C:\Documents and Settings\egidio.cuocci.UTENTI\Desktop\7 immagine.jpg"/>
                    <pic:cNvPicPr>
                      <a:picLocks noChangeAspect="1" noChangeArrowheads="1"/>
                    </pic:cNvPicPr>
                  </pic:nvPicPr>
                  <pic:blipFill>
                    <a:blip r:embed="rId7" cstate="print"/>
                    <a:srcRect/>
                    <a:stretch>
                      <a:fillRect/>
                    </a:stretch>
                  </pic:blipFill>
                  <pic:spPr bwMode="auto">
                    <a:xfrm>
                      <a:off x="0" y="0"/>
                      <a:ext cx="581025" cy="666750"/>
                    </a:xfrm>
                    <a:prstGeom prst="rect">
                      <a:avLst/>
                    </a:prstGeom>
                    <a:noFill/>
                    <a:ln w="9525">
                      <a:noFill/>
                      <a:miter lim="800000"/>
                      <a:headEnd/>
                      <a:tailEnd/>
                    </a:ln>
                  </pic:spPr>
                </pic:pic>
              </a:graphicData>
            </a:graphic>
          </wp:inline>
        </w:drawing>
      </w:r>
    </w:p>
    <w:p w14:paraId="3E59305A" w14:textId="77777777" w:rsidR="005827B6" w:rsidRPr="00B137AD" w:rsidRDefault="005827B6" w:rsidP="005827B6">
      <w:pPr>
        <w:spacing w:line="360" w:lineRule="auto"/>
        <w:ind w:right="-285"/>
        <w:jc w:val="center"/>
        <w:rPr>
          <w:rFonts w:ascii="Ecofont Vera Sans" w:hAnsi="Ecofont Vera Sans"/>
          <w:b/>
          <w:sz w:val="23"/>
          <w:szCs w:val="23"/>
        </w:rPr>
      </w:pPr>
      <w:r w:rsidRPr="00B137AD">
        <w:rPr>
          <w:rFonts w:ascii="Ecofont Vera Sans" w:hAnsi="Ecofont Vera Sans"/>
          <w:b/>
          <w:sz w:val="23"/>
          <w:szCs w:val="23"/>
        </w:rPr>
        <w:t>Procura Generale della Repubblica di Perugia</w:t>
      </w:r>
    </w:p>
    <w:p w14:paraId="3919D810" w14:textId="77777777" w:rsidR="004315D1" w:rsidRPr="00B137AD" w:rsidRDefault="004315D1" w:rsidP="006E3E96">
      <w:pPr>
        <w:spacing w:line="360" w:lineRule="auto"/>
        <w:ind w:right="-285"/>
        <w:jc w:val="center"/>
        <w:rPr>
          <w:rFonts w:ascii="Ecofont Vera Sans" w:hAnsi="Ecofont Vera Sans"/>
          <w:b/>
          <w:sz w:val="21"/>
          <w:szCs w:val="21"/>
        </w:rPr>
      </w:pPr>
    </w:p>
    <w:p w14:paraId="68FC6AC1" w14:textId="1203DBF4" w:rsidR="005827B6" w:rsidRPr="00B137AD" w:rsidRDefault="005827B6" w:rsidP="006E3E96">
      <w:pPr>
        <w:spacing w:line="360" w:lineRule="auto"/>
        <w:ind w:right="-285"/>
        <w:jc w:val="center"/>
        <w:rPr>
          <w:rFonts w:ascii="Ecofont Vera Sans" w:hAnsi="Ecofont Vera Sans"/>
          <w:b/>
          <w:sz w:val="21"/>
          <w:szCs w:val="21"/>
        </w:rPr>
      </w:pPr>
      <w:r w:rsidRPr="00B137AD">
        <w:rPr>
          <w:rFonts w:ascii="Ecofont Vera Sans" w:hAnsi="Ecofont Vera Sans"/>
          <w:b/>
          <w:sz w:val="21"/>
          <w:szCs w:val="21"/>
        </w:rPr>
        <w:t>COMUNICATO STAMPA</w:t>
      </w:r>
    </w:p>
    <w:p w14:paraId="60B1515C" w14:textId="7636BF65" w:rsidR="00530D0D" w:rsidRPr="00B137AD" w:rsidRDefault="00AB6656" w:rsidP="00996440">
      <w:pPr>
        <w:autoSpaceDE w:val="0"/>
        <w:autoSpaceDN w:val="0"/>
        <w:adjustRightInd w:val="0"/>
        <w:spacing w:line="360" w:lineRule="auto"/>
        <w:jc w:val="both"/>
        <w:rPr>
          <w:rFonts w:ascii="Ecofont Vera Sans" w:eastAsiaTheme="minorHAnsi" w:hAnsi="Ecofont Vera Sans"/>
          <w:sz w:val="19"/>
          <w:szCs w:val="19"/>
          <w:lang w:eastAsia="en-US"/>
        </w:rPr>
      </w:pPr>
      <w:r w:rsidRPr="00B137AD">
        <w:rPr>
          <w:rFonts w:ascii="Ecofont Vera Sans" w:hAnsi="Ecofont Vera Sans"/>
          <w:sz w:val="19"/>
          <w:szCs w:val="19"/>
        </w:rPr>
        <w:t xml:space="preserve">La Procura Generale di Perugia </w:t>
      </w:r>
      <w:r w:rsidR="00082CA5" w:rsidRPr="00B137AD">
        <w:rPr>
          <w:rFonts w:ascii="Ecofont Vera Sans" w:hAnsi="Ecofont Vera Sans"/>
          <w:sz w:val="19"/>
          <w:szCs w:val="19"/>
        </w:rPr>
        <w:t xml:space="preserve">comunica </w:t>
      </w:r>
      <w:r w:rsidR="00996440" w:rsidRPr="00B137AD">
        <w:rPr>
          <w:rFonts w:ascii="Ecofont Vera Sans" w:hAnsi="Ecofont Vera Sans"/>
          <w:sz w:val="19"/>
          <w:szCs w:val="19"/>
        </w:rPr>
        <w:t>di aver proposto ricorso per Cassazione avverso la decisione del Tribunale di Sorveglianza di Perugia, depositata lo scorso 8 marzo, con cui si è concessa l</w:t>
      </w:r>
      <w:r w:rsidR="007350DC" w:rsidRPr="00B137AD">
        <w:rPr>
          <w:rFonts w:ascii="Ecofont Vera Sans" w:hAnsi="Ecofont Vera Sans"/>
          <w:sz w:val="19"/>
          <w:szCs w:val="19"/>
        </w:rPr>
        <w:t xml:space="preserve">a misura alternativa al carcere, </w:t>
      </w:r>
      <w:r w:rsidR="00996440" w:rsidRPr="00B137AD">
        <w:rPr>
          <w:rFonts w:ascii="Ecofont Vera Sans" w:hAnsi="Ecofont Vera Sans"/>
          <w:sz w:val="19"/>
          <w:szCs w:val="19"/>
        </w:rPr>
        <w:t>in favore del detenuto Sig. Piero Amara, per lo svolgimento</w:t>
      </w:r>
      <w:r w:rsidR="007350DC" w:rsidRPr="00B137AD">
        <w:rPr>
          <w:rFonts w:ascii="Ecofont Vera Sans" w:hAnsi="Ecofont Vera Sans"/>
          <w:sz w:val="19"/>
          <w:szCs w:val="19"/>
        </w:rPr>
        <w:t xml:space="preserve"> in regime di</w:t>
      </w:r>
      <w:r w:rsidR="007350DC" w:rsidRPr="00B137AD">
        <w:rPr>
          <w:rFonts w:ascii="Ecofont Vera Sans" w:hAnsi="Ecofont Vera Sans"/>
          <w:sz w:val="19"/>
          <w:szCs w:val="19"/>
        </w:rPr>
        <w:t xml:space="preserve"> semilibertà</w:t>
      </w:r>
      <w:r w:rsidR="00996440" w:rsidRPr="00B137AD">
        <w:rPr>
          <w:rFonts w:ascii="Ecofont Vera Sans" w:hAnsi="Ecofont Vera Sans"/>
          <w:sz w:val="19"/>
          <w:szCs w:val="19"/>
        </w:rPr>
        <w:t xml:space="preserve"> d</w:t>
      </w:r>
      <w:r w:rsidR="007350DC" w:rsidRPr="00B137AD">
        <w:rPr>
          <w:rFonts w:ascii="Ecofont Vera Sans" w:hAnsi="Ecofont Vera Sans"/>
          <w:sz w:val="19"/>
          <w:szCs w:val="19"/>
        </w:rPr>
        <w:t>ell’</w:t>
      </w:r>
      <w:r w:rsidR="00996440" w:rsidRPr="00B137AD">
        <w:rPr>
          <w:rFonts w:ascii="Ecofont Vera Sans" w:hAnsi="Ecofont Vera Sans"/>
          <w:sz w:val="19"/>
          <w:szCs w:val="19"/>
        </w:rPr>
        <w:t>attività di volontariato e di pubblica utilità</w:t>
      </w:r>
      <w:r w:rsidR="00530D0D" w:rsidRPr="00B137AD">
        <w:rPr>
          <w:rFonts w:ascii="Ecofont Vera Sans" w:eastAsiaTheme="minorHAnsi" w:hAnsi="Ecofont Vera Sans"/>
          <w:sz w:val="19"/>
          <w:szCs w:val="19"/>
          <w:lang w:eastAsia="en-US"/>
        </w:rPr>
        <w:t>.</w:t>
      </w:r>
    </w:p>
    <w:p w14:paraId="1AB86383" w14:textId="73E2E36F" w:rsidR="00996440" w:rsidRPr="00B137AD" w:rsidRDefault="00996440" w:rsidP="00996440">
      <w:pPr>
        <w:autoSpaceDE w:val="0"/>
        <w:autoSpaceDN w:val="0"/>
        <w:adjustRightInd w:val="0"/>
        <w:spacing w:line="360" w:lineRule="auto"/>
        <w:jc w:val="both"/>
        <w:rPr>
          <w:rFonts w:ascii="Ecofont Vera Sans" w:eastAsiaTheme="minorHAnsi" w:hAnsi="Ecofont Vera Sans"/>
          <w:sz w:val="19"/>
          <w:szCs w:val="19"/>
          <w:lang w:eastAsia="en-US"/>
        </w:rPr>
      </w:pPr>
      <w:r w:rsidRPr="00B137AD">
        <w:rPr>
          <w:rFonts w:ascii="Ecofont Vera Sans" w:eastAsiaTheme="minorHAnsi" w:hAnsi="Ecofont Vera Sans"/>
          <w:sz w:val="19"/>
          <w:szCs w:val="19"/>
          <w:lang w:eastAsia="en-US"/>
        </w:rPr>
        <w:t xml:space="preserve">La decisione del Tribunale di Sorveglianza, presa in difformità delle richieste formulate in udienza dal rappresentante di questa Procura Generale, </w:t>
      </w:r>
      <w:r w:rsidR="000E0AFD" w:rsidRPr="00B137AD">
        <w:rPr>
          <w:rFonts w:ascii="Ecofont Vera Sans" w:eastAsiaTheme="minorHAnsi" w:hAnsi="Ecofont Vera Sans"/>
          <w:sz w:val="19"/>
          <w:szCs w:val="19"/>
          <w:lang w:eastAsia="en-US"/>
        </w:rPr>
        <w:t>ha ritenuto di poter accogliere la richiesta del detenuto in quanto questi ha manifestato la volontà</w:t>
      </w:r>
      <w:r w:rsidRPr="00B137AD">
        <w:rPr>
          <w:rFonts w:ascii="Ecofont Vera Sans" w:eastAsiaTheme="minorHAnsi" w:hAnsi="Ecofont Vera Sans"/>
          <w:sz w:val="19"/>
          <w:szCs w:val="19"/>
          <w:lang w:eastAsia="en-US"/>
        </w:rPr>
        <w:t xml:space="preserve"> di ripudio della condotta in precedenza tenuta, mediante l’attività di collaborazione che sarebbe dimostrata da dichiarazioni, auto ed etero accusatorie, rese presso diverse autorità giudiziarie. Al punto che, sempre secondo la decisone del Tribunale di Sorveglianza perugino, molti procedimenti penali instauratisi </w:t>
      </w:r>
      <w:r w:rsidR="007350DC" w:rsidRPr="00B137AD">
        <w:rPr>
          <w:rFonts w:ascii="Ecofont Vera Sans" w:eastAsiaTheme="minorHAnsi" w:hAnsi="Ecofont Vera Sans"/>
          <w:sz w:val="19"/>
          <w:szCs w:val="19"/>
          <w:lang w:eastAsia="en-US"/>
        </w:rPr>
        <w:t>traggono origine proprio dall’intensa attività di collaborazione, tanto più duratura quanto più penetrante è stato il coinvolgimento del Sig. Amara negli ambiti del potere.</w:t>
      </w:r>
    </w:p>
    <w:p w14:paraId="3F386CA8" w14:textId="11CC7800" w:rsidR="007350DC" w:rsidRPr="00B137AD" w:rsidRDefault="007350DC" w:rsidP="00996440">
      <w:pPr>
        <w:autoSpaceDE w:val="0"/>
        <w:autoSpaceDN w:val="0"/>
        <w:adjustRightInd w:val="0"/>
        <w:spacing w:line="360" w:lineRule="auto"/>
        <w:jc w:val="both"/>
        <w:rPr>
          <w:rFonts w:ascii="Ecofont Vera Sans" w:eastAsiaTheme="minorHAnsi" w:hAnsi="Ecofont Vera Sans"/>
          <w:sz w:val="19"/>
          <w:szCs w:val="19"/>
          <w:lang w:eastAsia="en-US"/>
        </w:rPr>
      </w:pPr>
      <w:r w:rsidRPr="00B137AD">
        <w:rPr>
          <w:rFonts w:ascii="Ecofont Vera Sans" w:eastAsiaTheme="minorHAnsi" w:hAnsi="Ecofont Vera Sans"/>
          <w:sz w:val="19"/>
          <w:szCs w:val="19"/>
          <w:lang w:eastAsia="en-US"/>
        </w:rPr>
        <w:t>In definitiva, sempre ad avviso del Tribunale di Sorveglianza, il percorso detentivo ha rappresentato per il Sig. Amara un effettivo senso di liberazione da atteggiamenti di vita condotti nel passato, che lo hanno portato ad esaltarsi del successo raggiunto nella carriera e del potere che ne era conseguito, per cui rispetto ai reati commessi si sta assistendo ad un processo di ripensamento del vissuto, con l’impegno di un reale cambiamento</w:t>
      </w:r>
      <w:r w:rsidR="000E0AFD" w:rsidRPr="00B137AD">
        <w:rPr>
          <w:rFonts w:ascii="Ecofont Vera Sans" w:eastAsiaTheme="minorHAnsi" w:hAnsi="Ecofont Vera Sans"/>
          <w:sz w:val="19"/>
          <w:szCs w:val="19"/>
          <w:lang w:eastAsia="en-US"/>
        </w:rPr>
        <w:t>.</w:t>
      </w:r>
    </w:p>
    <w:p w14:paraId="6C243FDC" w14:textId="2CE475DA" w:rsidR="000E0AFD" w:rsidRPr="00B137AD" w:rsidRDefault="000E0AFD" w:rsidP="00996440">
      <w:pPr>
        <w:autoSpaceDE w:val="0"/>
        <w:autoSpaceDN w:val="0"/>
        <w:adjustRightInd w:val="0"/>
        <w:spacing w:line="360" w:lineRule="auto"/>
        <w:jc w:val="both"/>
        <w:rPr>
          <w:rFonts w:ascii="Ecofont Vera Sans" w:eastAsiaTheme="minorHAnsi" w:hAnsi="Ecofont Vera Sans"/>
          <w:sz w:val="19"/>
          <w:szCs w:val="19"/>
          <w:lang w:eastAsia="en-US"/>
        </w:rPr>
      </w:pPr>
      <w:r w:rsidRPr="00B137AD">
        <w:rPr>
          <w:rFonts w:ascii="Ecofont Vera Sans" w:eastAsiaTheme="minorHAnsi" w:hAnsi="Ecofont Vera Sans"/>
          <w:sz w:val="19"/>
          <w:szCs w:val="19"/>
          <w:lang w:eastAsia="en-US"/>
        </w:rPr>
        <w:t>Questa Procura Generale contesta tali presupposti e per l’effetto ha impugnato la decisione.</w:t>
      </w:r>
    </w:p>
    <w:p w14:paraId="538A062F" w14:textId="13FD2252" w:rsidR="000E0AFD" w:rsidRPr="00B137AD" w:rsidRDefault="000E0AFD" w:rsidP="00996440">
      <w:pPr>
        <w:autoSpaceDE w:val="0"/>
        <w:autoSpaceDN w:val="0"/>
        <w:adjustRightInd w:val="0"/>
        <w:spacing w:line="360" w:lineRule="auto"/>
        <w:jc w:val="both"/>
        <w:rPr>
          <w:rFonts w:ascii="Ecofont Vera Sans" w:eastAsiaTheme="minorHAnsi" w:hAnsi="Ecofont Vera Sans"/>
          <w:sz w:val="19"/>
          <w:szCs w:val="19"/>
          <w:lang w:eastAsia="en-US"/>
        </w:rPr>
      </w:pPr>
      <w:r w:rsidRPr="00B137AD">
        <w:rPr>
          <w:rFonts w:ascii="Ecofont Vera Sans" w:eastAsiaTheme="minorHAnsi" w:hAnsi="Ecofont Vera Sans"/>
          <w:sz w:val="19"/>
          <w:szCs w:val="19"/>
          <w:lang w:eastAsia="en-US"/>
        </w:rPr>
        <w:t>In primo luogo, nel procedimento in esame non sono state consultate alcune delle autorità giudiziarie ove pendono i procedimenti penali a carico del Sig. Amara</w:t>
      </w:r>
      <w:r w:rsidR="00B275CA" w:rsidRPr="00B137AD">
        <w:rPr>
          <w:rFonts w:ascii="Ecofont Vera Sans" w:eastAsiaTheme="minorHAnsi" w:hAnsi="Ecofont Vera Sans"/>
          <w:sz w:val="19"/>
          <w:szCs w:val="19"/>
          <w:lang w:eastAsia="en-US"/>
        </w:rPr>
        <w:t>,</w:t>
      </w:r>
      <w:r w:rsidRPr="00B137AD">
        <w:rPr>
          <w:rFonts w:ascii="Ecofont Vera Sans" w:eastAsiaTheme="minorHAnsi" w:hAnsi="Ecofont Vera Sans"/>
          <w:sz w:val="19"/>
          <w:szCs w:val="19"/>
          <w:lang w:eastAsia="en-US"/>
        </w:rPr>
        <w:t xml:space="preserve"> per cui non risulta dimostrato il presupposto della collaborazione. Per di più, l’emissione in questi stessi procedimenti di a</w:t>
      </w:r>
      <w:r w:rsidR="00660826" w:rsidRPr="00B137AD">
        <w:rPr>
          <w:rFonts w:ascii="Ecofont Vera Sans" w:eastAsiaTheme="minorHAnsi" w:hAnsi="Ecofont Vera Sans"/>
          <w:sz w:val="19"/>
          <w:szCs w:val="19"/>
          <w:lang w:eastAsia="en-US"/>
        </w:rPr>
        <w:t xml:space="preserve">tti contenenti l’avviso della conclusone delle indagini ipotizzano reati di particolare gravità che smentiscono la tesi del tribunale. </w:t>
      </w:r>
    </w:p>
    <w:p w14:paraId="544BE583" w14:textId="28A710A9" w:rsidR="000929F1" w:rsidRPr="00B137AD" w:rsidRDefault="00660826" w:rsidP="00996440">
      <w:pPr>
        <w:autoSpaceDE w:val="0"/>
        <w:autoSpaceDN w:val="0"/>
        <w:adjustRightInd w:val="0"/>
        <w:spacing w:line="360" w:lineRule="auto"/>
        <w:jc w:val="both"/>
        <w:rPr>
          <w:rFonts w:ascii="Ecofont Vera Sans" w:eastAsiaTheme="minorHAnsi" w:hAnsi="Ecofont Vera Sans"/>
          <w:sz w:val="19"/>
          <w:szCs w:val="19"/>
          <w:lang w:eastAsia="en-US"/>
        </w:rPr>
      </w:pPr>
      <w:r w:rsidRPr="00B137AD">
        <w:rPr>
          <w:rFonts w:ascii="Ecofont Vera Sans" w:eastAsiaTheme="minorHAnsi" w:hAnsi="Ecofont Vera Sans"/>
          <w:sz w:val="19"/>
          <w:szCs w:val="19"/>
          <w:lang w:eastAsia="en-US"/>
        </w:rPr>
        <w:t xml:space="preserve">In effetti, ad avviso di questa Procura Generale, non è dimostrato che l’attività collaborativa del Sig. Amara sia stata leale e piena, in quanto </w:t>
      </w:r>
      <w:r w:rsidR="00B275CA" w:rsidRPr="00B137AD">
        <w:rPr>
          <w:rFonts w:ascii="Ecofont Vera Sans" w:eastAsiaTheme="minorHAnsi" w:hAnsi="Ecofont Vera Sans"/>
          <w:sz w:val="19"/>
          <w:szCs w:val="19"/>
          <w:lang w:eastAsia="en-US"/>
        </w:rPr>
        <w:t>questi ha</w:t>
      </w:r>
      <w:r w:rsidRPr="00B137AD">
        <w:rPr>
          <w:rFonts w:ascii="Ecofont Vera Sans" w:eastAsiaTheme="minorHAnsi" w:hAnsi="Ecofont Vera Sans"/>
          <w:sz w:val="19"/>
          <w:szCs w:val="19"/>
          <w:lang w:eastAsia="en-US"/>
        </w:rPr>
        <w:t xml:space="preserve"> taciut</w:t>
      </w:r>
      <w:r w:rsidR="00B275CA" w:rsidRPr="00B137AD">
        <w:rPr>
          <w:rFonts w:ascii="Ecofont Vera Sans" w:eastAsiaTheme="minorHAnsi" w:hAnsi="Ecofont Vera Sans"/>
          <w:sz w:val="19"/>
          <w:szCs w:val="19"/>
          <w:lang w:eastAsia="en-US"/>
        </w:rPr>
        <w:t>o</w:t>
      </w:r>
      <w:bookmarkStart w:id="0" w:name="_GoBack"/>
      <w:bookmarkEnd w:id="0"/>
      <w:r w:rsidRPr="00B137AD">
        <w:rPr>
          <w:rFonts w:ascii="Ecofont Vera Sans" w:eastAsiaTheme="minorHAnsi" w:hAnsi="Ecofont Vera Sans"/>
          <w:sz w:val="19"/>
          <w:szCs w:val="19"/>
          <w:lang w:eastAsia="en-US"/>
        </w:rPr>
        <w:t xml:space="preserve"> fatti criminosi di particolare gravità. Inoltre, non è dimostrato che vi sia stata una coerente </w:t>
      </w:r>
      <w:r w:rsidR="000929F1" w:rsidRPr="00B137AD">
        <w:rPr>
          <w:rFonts w:ascii="Ecofont Vera Sans" w:eastAsiaTheme="minorHAnsi" w:hAnsi="Ecofont Vera Sans"/>
          <w:sz w:val="19"/>
          <w:szCs w:val="19"/>
          <w:lang w:eastAsia="en-US"/>
        </w:rPr>
        <w:t xml:space="preserve">dichiarazione autoaccusatoria, perché in alcuni casi il Sig. Amara è stato sottoposto ad indagini a seguito di dichiarazioni rilasciate da altri soggetti. </w:t>
      </w:r>
    </w:p>
    <w:p w14:paraId="64E8C911" w14:textId="09A8DFCB" w:rsidR="00660826" w:rsidRPr="00B137AD" w:rsidRDefault="000929F1" w:rsidP="00996440">
      <w:pPr>
        <w:autoSpaceDE w:val="0"/>
        <w:autoSpaceDN w:val="0"/>
        <w:adjustRightInd w:val="0"/>
        <w:spacing w:line="360" w:lineRule="auto"/>
        <w:jc w:val="both"/>
        <w:rPr>
          <w:rFonts w:ascii="Ecofont Vera Sans" w:eastAsiaTheme="minorHAnsi" w:hAnsi="Ecofont Vera Sans"/>
          <w:sz w:val="19"/>
          <w:szCs w:val="19"/>
          <w:lang w:eastAsia="en-US"/>
        </w:rPr>
      </w:pPr>
      <w:r w:rsidRPr="00B137AD">
        <w:rPr>
          <w:rFonts w:ascii="Ecofont Vera Sans" w:eastAsiaTheme="minorHAnsi" w:hAnsi="Ecofont Vera Sans"/>
          <w:sz w:val="19"/>
          <w:szCs w:val="19"/>
          <w:lang w:eastAsia="en-US"/>
        </w:rPr>
        <w:t>In definitiva, questa Procura Generale ritiene che dalle condotte tenute dal Sig. Amara nei procedimenti penali</w:t>
      </w:r>
      <w:r w:rsidR="005A5F41" w:rsidRPr="00B137AD">
        <w:rPr>
          <w:rFonts w:ascii="Ecofont Vera Sans" w:eastAsiaTheme="minorHAnsi" w:hAnsi="Ecofont Vera Sans"/>
          <w:sz w:val="19"/>
          <w:szCs w:val="19"/>
          <w:lang w:eastAsia="en-US"/>
        </w:rPr>
        <w:t>,</w:t>
      </w:r>
      <w:r w:rsidRPr="00B137AD">
        <w:rPr>
          <w:rFonts w:ascii="Ecofont Vera Sans" w:eastAsiaTheme="minorHAnsi" w:hAnsi="Ecofont Vera Sans"/>
          <w:sz w:val="19"/>
          <w:szCs w:val="19"/>
          <w:lang w:eastAsia="en-US"/>
        </w:rPr>
        <w:t xml:space="preserve"> nei quali è attualmente sottoposto ad indagini</w:t>
      </w:r>
      <w:r w:rsidR="005A5F41" w:rsidRPr="00B137AD">
        <w:rPr>
          <w:rFonts w:ascii="Ecofont Vera Sans" w:eastAsiaTheme="minorHAnsi" w:hAnsi="Ecofont Vera Sans"/>
          <w:sz w:val="19"/>
          <w:szCs w:val="19"/>
          <w:lang w:eastAsia="en-US"/>
        </w:rPr>
        <w:t>,</w:t>
      </w:r>
      <w:r w:rsidRPr="00B137AD">
        <w:rPr>
          <w:rFonts w:ascii="Ecofont Vera Sans" w:eastAsiaTheme="minorHAnsi" w:hAnsi="Ecofont Vera Sans"/>
          <w:sz w:val="19"/>
          <w:szCs w:val="19"/>
          <w:lang w:eastAsia="en-US"/>
        </w:rPr>
        <w:t xml:space="preserve"> non emerga la volontà di collaborazione, ma al contrario si sia in presenza di un</w:t>
      </w:r>
      <w:r w:rsidR="005A5F41" w:rsidRPr="00B137AD">
        <w:rPr>
          <w:rFonts w:ascii="Ecofont Vera Sans" w:eastAsiaTheme="minorHAnsi" w:hAnsi="Ecofont Vera Sans"/>
          <w:sz w:val="19"/>
          <w:szCs w:val="19"/>
          <w:lang w:eastAsia="en-US"/>
        </w:rPr>
        <w:t>a</w:t>
      </w:r>
      <w:r w:rsidRPr="00B137AD">
        <w:rPr>
          <w:rFonts w:ascii="Ecofont Vera Sans" w:eastAsiaTheme="minorHAnsi" w:hAnsi="Ecofont Vera Sans"/>
          <w:sz w:val="19"/>
          <w:szCs w:val="19"/>
          <w:lang w:eastAsia="en-US"/>
        </w:rPr>
        <w:t xml:space="preserve"> </w:t>
      </w:r>
      <w:r w:rsidR="005A5F41" w:rsidRPr="00B137AD">
        <w:rPr>
          <w:rFonts w:ascii="Ecofont Vera Sans" w:eastAsiaTheme="minorHAnsi" w:hAnsi="Ecofont Vera Sans"/>
          <w:sz w:val="19"/>
          <w:szCs w:val="19"/>
          <w:lang w:eastAsia="en-US"/>
        </w:rPr>
        <w:t>commissione</w:t>
      </w:r>
      <w:r w:rsidRPr="00B137AD">
        <w:rPr>
          <w:rFonts w:ascii="Ecofont Vera Sans" w:eastAsiaTheme="minorHAnsi" w:hAnsi="Ecofont Vera Sans"/>
          <w:sz w:val="19"/>
          <w:szCs w:val="19"/>
          <w:lang w:eastAsia="en-US"/>
        </w:rPr>
        <w:t xml:space="preserve"> sistematica di reati gravissimi</w:t>
      </w:r>
      <w:r w:rsidR="005A5F41" w:rsidRPr="00B137AD">
        <w:rPr>
          <w:rFonts w:ascii="Ecofont Vera Sans" w:eastAsiaTheme="minorHAnsi" w:hAnsi="Ecofont Vera Sans"/>
          <w:sz w:val="19"/>
          <w:szCs w:val="19"/>
          <w:lang w:eastAsia="en-US"/>
        </w:rPr>
        <w:t>,</w:t>
      </w:r>
      <w:r w:rsidRPr="00B137AD">
        <w:rPr>
          <w:rFonts w:ascii="Ecofont Vera Sans" w:eastAsiaTheme="minorHAnsi" w:hAnsi="Ecofont Vera Sans"/>
          <w:sz w:val="19"/>
          <w:szCs w:val="19"/>
          <w:lang w:eastAsia="en-US"/>
        </w:rPr>
        <w:t xml:space="preserve"> con una disinvolta spregiudicatezza</w:t>
      </w:r>
      <w:r w:rsidR="005A5F41" w:rsidRPr="00B137AD">
        <w:rPr>
          <w:rFonts w:ascii="Ecofont Vera Sans" w:eastAsiaTheme="minorHAnsi" w:hAnsi="Ecofont Vera Sans"/>
          <w:sz w:val="19"/>
          <w:szCs w:val="19"/>
          <w:lang w:eastAsia="en-US"/>
        </w:rPr>
        <w:t xml:space="preserve"> volta ad inserirsi in un contesto criminale di destabilizzazione delle istituzioni e di discredito e di sfiducia nel sistema giudiziario.</w:t>
      </w:r>
      <w:r w:rsidRPr="00B137AD">
        <w:rPr>
          <w:rFonts w:ascii="Ecofont Vera Sans" w:eastAsiaTheme="minorHAnsi" w:hAnsi="Ecofont Vera Sans"/>
          <w:sz w:val="19"/>
          <w:szCs w:val="19"/>
          <w:lang w:eastAsia="en-US"/>
        </w:rPr>
        <w:t xml:space="preserve"> </w:t>
      </w:r>
    </w:p>
    <w:p w14:paraId="59B07820" w14:textId="77777777" w:rsidR="007350DC" w:rsidRPr="00B137AD" w:rsidRDefault="007350DC" w:rsidP="00996440">
      <w:pPr>
        <w:autoSpaceDE w:val="0"/>
        <w:autoSpaceDN w:val="0"/>
        <w:adjustRightInd w:val="0"/>
        <w:spacing w:line="360" w:lineRule="auto"/>
        <w:jc w:val="both"/>
        <w:rPr>
          <w:rFonts w:ascii="Ecofont Vera Sans" w:hAnsi="Ecofont Vera Sans"/>
          <w:sz w:val="19"/>
          <w:szCs w:val="19"/>
        </w:rPr>
      </w:pPr>
    </w:p>
    <w:p w14:paraId="095350D0" w14:textId="77777777" w:rsidR="009E3E30" w:rsidRPr="00B137AD" w:rsidRDefault="009E3E30" w:rsidP="00530D0D">
      <w:pPr>
        <w:spacing w:line="360" w:lineRule="auto"/>
        <w:ind w:right="-284"/>
        <w:jc w:val="both"/>
        <w:rPr>
          <w:rFonts w:ascii="Ecofont Vera Sans" w:hAnsi="Ecofont Vera Sans"/>
          <w:sz w:val="19"/>
          <w:szCs w:val="19"/>
        </w:rPr>
      </w:pPr>
    </w:p>
    <w:p w14:paraId="64F21047" w14:textId="18E796FE" w:rsidR="00673A24" w:rsidRPr="00B137AD" w:rsidRDefault="005827B6" w:rsidP="00482F52">
      <w:pPr>
        <w:spacing w:line="360" w:lineRule="auto"/>
        <w:ind w:right="-284"/>
        <w:jc w:val="both"/>
        <w:rPr>
          <w:rFonts w:ascii="Ecofont Vera Sans" w:hAnsi="Ecofont Vera Sans"/>
          <w:sz w:val="19"/>
          <w:szCs w:val="19"/>
        </w:rPr>
      </w:pPr>
      <w:r w:rsidRPr="00B137AD">
        <w:rPr>
          <w:rFonts w:ascii="Ecofont Vera Sans" w:hAnsi="Ecofont Vera Sans"/>
          <w:sz w:val="19"/>
          <w:szCs w:val="19"/>
        </w:rPr>
        <w:t xml:space="preserve">Perugia, </w:t>
      </w:r>
      <w:r w:rsidR="00996440" w:rsidRPr="00B137AD">
        <w:rPr>
          <w:rFonts w:ascii="Ecofont Vera Sans" w:hAnsi="Ecofont Vera Sans"/>
          <w:sz w:val="19"/>
          <w:szCs w:val="19"/>
        </w:rPr>
        <w:t>18</w:t>
      </w:r>
      <w:r w:rsidR="009C5ACC" w:rsidRPr="00B137AD">
        <w:rPr>
          <w:rFonts w:ascii="Ecofont Vera Sans" w:hAnsi="Ecofont Vera Sans"/>
          <w:sz w:val="19"/>
          <w:szCs w:val="19"/>
        </w:rPr>
        <w:t xml:space="preserve"> marzo</w:t>
      </w:r>
      <w:r w:rsidRPr="00B137AD">
        <w:rPr>
          <w:rFonts w:ascii="Ecofont Vera Sans" w:hAnsi="Ecofont Vera Sans"/>
          <w:sz w:val="19"/>
          <w:szCs w:val="19"/>
        </w:rPr>
        <w:t xml:space="preserve"> 20</w:t>
      </w:r>
      <w:r w:rsidR="006E3E96" w:rsidRPr="00B137AD">
        <w:rPr>
          <w:rFonts w:ascii="Ecofont Vera Sans" w:hAnsi="Ecofont Vera Sans"/>
          <w:sz w:val="19"/>
          <w:szCs w:val="19"/>
        </w:rPr>
        <w:t>2</w:t>
      </w:r>
      <w:r w:rsidR="009C5ACC" w:rsidRPr="00B137AD">
        <w:rPr>
          <w:rFonts w:ascii="Ecofont Vera Sans" w:hAnsi="Ecofont Vera Sans"/>
          <w:sz w:val="19"/>
          <w:szCs w:val="19"/>
        </w:rPr>
        <w:t>2</w:t>
      </w:r>
    </w:p>
    <w:p w14:paraId="239EDB7D" w14:textId="1646820D" w:rsidR="00482F52" w:rsidRPr="00B137AD" w:rsidRDefault="00482F52" w:rsidP="00482F52">
      <w:pPr>
        <w:ind w:right="-284"/>
        <w:jc w:val="center"/>
        <w:rPr>
          <w:rFonts w:ascii="Ecofont Vera Sans" w:hAnsi="Ecofont Vera Sans"/>
          <w:sz w:val="19"/>
          <w:szCs w:val="19"/>
        </w:rPr>
      </w:pPr>
      <w:r w:rsidRPr="00B137AD">
        <w:rPr>
          <w:rFonts w:ascii="Ecofont Vera Sans" w:hAnsi="Ecofont Vera Sans"/>
          <w:sz w:val="19"/>
          <w:szCs w:val="19"/>
        </w:rPr>
        <w:t>Il Procuratore Generale</w:t>
      </w:r>
    </w:p>
    <w:p w14:paraId="29F7E1C6" w14:textId="0560B228" w:rsidR="00482F52" w:rsidRPr="00B137AD" w:rsidRDefault="00482F52" w:rsidP="00482F52">
      <w:pPr>
        <w:ind w:right="-284"/>
        <w:jc w:val="center"/>
        <w:rPr>
          <w:rFonts w:ascii="Ecofont Vera Sans" w:hAnsi="Ecofont Vera Sans" w:cs="Arial"/>
          <w:sz w:val="19"/>
          <w:szCs w:val="19"/>
        </w:rPr>
      </w:pPr>
      <w:r w:rsidRPr="00B137AD">
        <w:rPr>
          <w:rFonts w:ascii="Ecofont Vera Sans" w:hAnsi="Ecofont Vera Sans"/>
          <w:sz w:val="19"/>
          <w:szCs w:val="19"/>
        </w:rPr>
        <w:t>Sergio Sottani</w:t>
      </w:r>
    </w:p>
    <w:sectPr w:rsidR="00482F52" w:rsidRPr="00B137AD" w:rsidSect="00482F52">
      <w:type w:val="continuous"/>
      <w:pgSz w:w="11906" w:h="16838"/>
      <w:pgMar w:top="85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DAD975" w14:textId="77777777" w:rsidR="0084221D" w:rsidRPr="00B137AD" w:rsidRDefault="0084221D" w:rsidP="00685D04">
      <w:pPr>
        <w:rPr>
          <w:sz w:val="15"/>
          <w:szCs w:val="15"/>
        </w:rPr>
      </w:pPr>
      <w:r w:rsidRPr="00B137AD">
        <w:rPr>
          <w:sz w:val="15"/>
          <w:szCs w:val="15"/>
        </w:rPr>
        <w:separator/>
      </w:r>
    </w:p>
  </w:endnote>
  <w:endnote w:type="continuationSeparator" w:id="0">
    <w:p w14:paraId="4708F6A4" w14:textId="77777777" w:rsidR="0084221D" w:rsidRPr="00B137AD" w:rsidRDefault="0084221D" w:rsidP="00685D04">
      <w:pPr>
        <w:rPr>
          <w:sz w:val="15"/>
          <w:szCs w:val="15"/>
        </w:rPr>
      </w:pPr>
      <w:r w:rsidRPr="00B137AD">
        <w:rPr>
          <w:sz w:val="15"/>
          <w:szCs w:val="15"/>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unstler Script">
    <w:panose1 w:val="030304020206070D0D06"/>
    <w:charset w:val="00"/>
    <w:family w:val="script"/>
    <w:pitch w:val="variable"/>
    <w:sig w:usb0="00000003" w:usb1="00000000" w:usb2="00000000" w:usb3="00000000" w:csb0="00000001" w:csb1="00000000"/>
  </w:font>
  <w:font w:name="Ecofont Vera Sans">
    <w:panose1 w:val="020B0603030804020204"/>
    <w:charset w:val="00"/>
    <w:family w:val="swiss"/>
    <w:pitch w:val="variable"/>
    <w:sig w:usb0="800000AF" w:usb1="1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71C50" w14:textId="77777777" w:rsidR="0084221D" w:rsidRPr="00B137AD" w:rsidRDefault="0084221D" w:rsidP="00685D04">
      <w:pPr>
        <w:rPr>
          <w:sz w:val="15"/>
          <w:szCs w:val="15"/>
        </w:rPr>
      </w:pPr>
      <w:r w:rsidRPr="00B137AD">
        <w:rPr>
          <w:sz w:val="15"/>
          <w:szCs w:val="15"/>
        </w:rPr>
        <w:separator/>
      </w:r>
    </w:p>
  </w:footnote>
  <w:footnote w:type="continuationSeparator" w:id="0">
    <w:p w14:paraId="14B43844" w14:textId="77777777" w:rsidR="0084221D" w:rsidRPr="00B137AD" w:rsidRDefault="0084221D" w:rsidP="00685D04">
      <w:pPr>
        <w:rPr>
          <w:sz w:val="15"/>
          <w:szCs w:val="15"/>
        </w:rPr>
      </w:pPr>
      <w:r w:rsidRPr="00B137AD">
        <w:rPr>
          <w:sz w:val="15"/>
          <w:szCs w:val="15"/>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B6"/>
    <w:rsid w:val="00046645"/>
    <w:rsid w:val="000532F9"/>
    <w:rsid w:val="00082CA5"/>
    <w:rsid w:val="000929F1"/>
    <w:rsid w:val="000A1B19"/>
    <w:rsid w:val="000C7941"/>
    <w:rsid w:val="000E03DF"/>
    <w:rsid w:val="000E0AFD"/>
    <w:rsid w:val="001E3F32"/>
    <w:rsid w:val="002C1B0B"/>
    <w:rsid w:val="002D174A"/>
    <w:rsid w:val="002F107B"/>
    <w:rsid w:val="00330110"/>
    <w:rsid w:val="003527D6"/>
    <w:rsid w:val="003C54CC"/>
    <w:rsid w:val="003F4561"/>
    <w:rsid w:val="004315D1"/>
    <w:rsid w:val="00482F52"/>
    <w:rsid w:val="00530D0D"/>
    <w:rsid w:val="005827B6"/>
    <w:rsid w:val="00590439"/>
    <w:rsid w:val="005915E0"/>
    <w:rsid w:val="005A5F41"/>
    <w:rsid w:val="005D7F12"/>
    <w:rsid w:val="005F7922"/>
    <w:rsid w:val="00627E1A"/>
    <w:rsid w:val="00660826"/>
    <w:rsid w:val="00673A24"/>
    <w:rsid w:val="00685D04"/>
    <w:rsid w:val="006C778A"/>
    <w:rsid w:val="006E3E96"/>
    <w:rsid w:val="007350DC"/>
    <w:rsid w:val="00784CBD"/>
    <w:rsid w:val="007A5FA3"/>
    <w:rsid w:val="0084221D"/>
    <w:rsid w:val="00866452"/>
    <w:rsid w:val="00895D70"/>
    <w:rsid w:val="00941A79"/>
    <w:rsid w:val="00947D71"/>
    <w:rsid w:val="009611BD"/>
    <w:rsid w:val="00996440"/>
    <w:rsid w:val="009C5ACC"/>
    <w:rsid w:val="009E3E30"/>
    <w:rsid w:val="009E7B81"/>
    <w:rsid w:val="00A00D24"/>
    <w:rsid w:val="00A243A6"/>
    <w:rsid w:val="00A52D65"/>
    <w:rsid w:val="00AB6656"/>
    <w:rsid w:val="00AB7693"/>
    <w:rsid w:val="00B137AD"/>
    <w:rsid w:val="00B275CA"/>
    <w:rsid w:val="00B40BE0"/>
    <w:rsid w:val="00B52F39"/>
    <w:rsid w:val="00B77899"/>
    <w:rsid w:val="00BC5619"/>
    <w:rsid w:val="00C73AFC"/>
    <w:rsid w:val="00C9543A"/>
    <w:rsid w:val="00CA4589"/>
    <w:rsid w:val="00CB6695"/>
    <w:rsid w:val="00CC76E4"/>
    <w:rsid w:val="00CD0A7D"/>
    <w:rsid w:val="00D029DD"/>
    <w:rsid w:val="00D52643"/>
    <w:rsid w:val="00D6462D"/>
    <w:rsid w:val="00E27ED4"/>
    <w:rsid w:val="00E36FAF"/>
    <w:rsid w:val="00E60F51"/>
    <w:rsid w:val="00F07692"/>
    <w:rsid w:val="00FA4B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560C5"/>
  <w15:docId w15:val="{4657D11A-5D0F-43A1-A929-D56153DC5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827B6"/>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5827B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827B6"/>
    <w:rPr>
      <w:rFonts w:ascii="Tahoma" w:eastAsia="Times New Roman" w:hAnsi="Tahoma" w:cs="Tahoma"/>
      <w:sz w:val="16"/>
      <w:szCs w:val="16"/>
      <w:lang w:eastAsia="it-IT"/>
    </w:rPr>
  </w:style>
  <w:style w:type="paragraph" w:styleId="Testonotaapidipagina">
    <w:name w:val="footnote text"/>
    <w:basedOn w:val="Normale"/>
    <w:link w:val="TestonotaapidipaginaCarattere"/>
    <w:uiPriority w:val="99"/>
    <w:semiHidden/>
    <w:unhideWhenUsed/>
    <w:rsid w:val="00685D04"/>
  </w:style>
  <w:style w:type="character" w:customStyle="1" w:styleId="TestonotaapidipaginaCarattere">
    <w:name w:val="Testo nota a piè di pagina Carattere"/>
    <w:basedOn w:val="Carpredefinitoparagrafo"/>
    <w:link w:val="Testonotaapidipagina"/>
    <w:uiPriority w:val="99"/>
    <w:semiHidden/>
    <w:rsid w:val="00685D04"/>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685D04"/>
    <w:rPr>
      <w:vertAlign w:val="superscript"/>
    </w:rPr>
  </w:style>
  <w:style w:type="character" w:styleId="Enfasigrassetto">
    <w:name w:val="Strong"/>
    <w:basedOn w:val="Carpredefinitoparagrafo"/>
    <w:uiPriority w:val="22"/>
    <w:qFormat/>
    <w:rsid w:val="00685D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F84AB-2E39-497B-B303-C32EFBDEF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459</Words>
  <Characters>2617</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Ministero della Giustizia</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cardone.o</dc:creator>
  <cp:lastModifiedBy>Sergio Sottani</cp:lastModifiedBy>
  <cp:revision>6</cp:revision>
  <cp:lastPrinted>2021-09-14T09:20:00Z</cp:lastPrinted>
  <dcterms:created xsi:type="dcterms:W3CDTF">2022-03-18T08:36:00Z</dcterms:created>
  <dcterms:modified xsi:type="dcterms:W3CDTF">2022-03-18T09:02:00Z</dcterms:modified>
</cp:coreProperties>
</file>